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90" w:lineRule="atLeast"/>
        <w:ind w:left="0" w:right="0" w:firstLine="0"/>
        <w:jc w:val="left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2"/>
          <w:szCs w:val="32"/>
          <w:bdr w:val="none" w:color="auto" w:sz="0" w:space="0"/>
        </w:rPr>
        <w:t>黑龙江省注册会计师非执业人员继续教育手机看课流程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 w:line="480" w:lineRule="atLeast"/>
        <w:ind w:left="0" w:right="0"/>
        <w:jc w:val="left"/>
        <w:rPr>
          <w:rFonts w:hint="eastAsia" w:ascii="黑体" w:hAnsi="黑体" w:eastAsia="黑体" w:cs="黑体"/>
          <w:sz w:val="21"/>
          <w:szCs w:val="21"/>
        </w:rPr>
      </w:pPr>
      <w:r>
        <w:rPr>
          <w:rStyle w:val="6"/>
          <w:rFonts w:hint="eastAsia" w:ascii="黑体" w:hAnsi="黑体" w:eastAsia="黑体" w:cs="黑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第一步：下载中华会计网校APP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360" w:lineRule="atLeast"/>
        <w:ind w:left="0" w:right="0"/>
        <w:jc w:val="left"/>
        <w:rPr>
          <w:rFonts w:hint="eastAsia" w:ascii="黑体" w:hAnsi="黑体" w:eastAsia="黑体" w:cs="黑体"/>
          <w:color w:val="333333"/>
          <w:sz w:val="21"/>
          <w:szCs w:val="21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在网校开通黑龙江注会继续教育课程后，根据手机或平板电脑系统类型下载安装适用的中华会计网校APP版本；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360" w:lineRule="atLeast"/>
        <w:ind w:left="0" w:right="0"/>
        <w:jc w:val="center"/>
        <w:rPr>
          <w:rFonts w:hint="eastAsia" w:ascii="黑体" w:hAnsi="黑体" w:eastAsia="黑体" w:cs="黑体"/>
          <w:color w:val="333333"/>
          <w:sz w:val="21"/>
          <w:szCs w:val="21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drawing>
          <wp:inline distT="0" distB="0" distL="114300" distR="114300">
            <wp:extent cx="1905000" cy="304800"/>
            <wp:effectExtent l="0" t="0" r="0" b="0"/>
            <wp:docPr id="2" name="图片 1" descr="IMG_256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 w:line="480" w:lineRule="atLeast"/>
        <w:ind w:left="0" w:right="0"/>
        <w:jc w:val="left"/>
        <w:rPr>
          <w:rFonts w:hint="eastAsia" w:ascii="黑体" w:hAnsi="黑体" w:eastAsia="黑体" w:cs="黑体"/>
          <w:sz w:val="21"/>
          <w:szCs w:val="21"/>
        </w:rPr>
      </w:pPr>
      <w:r>
        <w:rPr>
          <w:rStyle w:val="6"/>
          <w:rFonts w:hint="eastAsia" w:ascii="黑体" w:hAnsi="黑体" w:eastAsia="黑体" w:cs="黑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第二步：凭个人信息登录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360" w:lineRule="atLeast"/>
        <w:ind w:left="0" w:right="0"/>
        <w:jc w:val="left"/>
        <w:rPr>
          <w:rFonts w:hint="eastAsia" w:ascii="黑体" w:hAnsi="黑体" w:eastAsia="黑体" w:cs="黑体"/>
          <w:color w:val="333333"/>
          <w:sz w:val="21"/>
          <w:szCs w:val="21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凭学员个人的信息进行登录；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360" w:lineRule="atLeast"/>
        <w:ind w:left="0" w:right="0"/>
        <w:jc w:val="center"/>
        <w:rPr>
          <w:rFonts w:hint="eastAsia" w:ascii="黑体" w:hAnsi="黑体" w:eastAsia="黑体" w:cs="黑体"/>
          <w:color w:val="333333"/>
          <w:sz w:val="21"/>
          <w:szCs w:val="21"/>
        </w:rPr>
      </w:pPr>
      <w:r>
        <w:rPr>
          <w:rStyle w:val="6"/>
          <w:rFonts w:hint="eastAsia" w:ascii="黑体" w:hAnsi="黑体" w:eastAsia="黑体" w:cs="黑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drawing>
          <wp:inline distT="0" distB="0" distL="114300" distR="114300">
            <wp:extent cx="1905000" cy="3390900"/>
            <wp:effectExtent l="0" t="0" r="0" b="0"/>
            <wp:docPr id="4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3390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hint="eastAsia" w:ascii="黑体" w:hAnsi="黑体" w:eastAsia="黑体" w:cs="黑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drawing>
          <wp:inline distT="0" distB="0" distL="114300" distR="114300">
            <wp:extent cx="1905000" cy="3390900"/>
            <wp:effectExtent l="0" t="0" r="0" b="0"/>
            <wp:docPr id="8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3390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 w:line="480" w:lineRule="atLeast"/>
        <w:ind w:left="0" w:right="0"/>
        <w:jc w:val="center"/>
        <w:rPr>
          <w:rFonts w:hint="eastAsia" w:ascii="黑体" w:hAnsi="黑体" w:eastAsia="黑体" w:cs="黑体"/>
          <w:sz w:val="21"/>
          <w:szCs w:val="21"/>
        </w:rPr>
      </w:pPr>
      <w:bookmarkStart w:id="0" w:name="_GoBack"/>
      <w:bookmarkEnd w:id="0"/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21"/>
          <w:szCs w:val="21"/>
          <w:bdr w:val="none" w:color="auto" w:sz="0" w:space="0"/>
        </w:rPr>
        <w:drawing>
          <wp:inline distT="0" distB="0" distL="114300" distR="114300">
            <wp:extent cx="1847850" cy="9525"/>
            <wp:effectExtent l="0" t="0" r="0" b="0"/>
            <wp:docPr id="1" name="图片 6" descr="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6" descr="1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 w:line="480" w:lineRule="atLeast"/>
        <w:ind w:left="0" w:right="0"/>
        <w:jc w:val="left"/>
        <w:rPr>
          <w:rFonts w:hint="eastAsia" w:ascii="黑体" w:hAnsi="黑体" w:eastAsia="黑体" w:cs="黑体"/>
          <w:sz w:val="21"/>
          <w:szCs w:val="21"/>
        </w:rPr>
      </w:pPr>
      <w:r>
        <w:rPr>
          <w:rStyle w:val="6"/>
          <w:rFonts w:hint="eastAsia" w:ascii="黑体" w:hAnsi="黑体" w:eastAsia="黑体" w:cs="黑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第三步：选择课程听课</w:t>
      </w: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21"/>
          <w:szCs w:val="21"/>
          <w:bdr w:val="none" w:color="auto" w:sz="0" w:space="0"/>
        </w:rPr>
        <w:t>　　选择章节进入听课，可根据您的上网环境选择课程播放模式。如果您是在非WIFI网络环境下在线看课，建议选择音频格式，以便节约上网流量；</w:t>
      </w: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  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 w:line="480" w:lineRule="atLeast"/>
        <w:ind w:left="0" w:right="0"/>
        <w:jc w:val="center"/>
        <w:rPr>
          <w:rFonts w:hint="eastAsia" w:ascii="黑体" w:hAnsi="黑体" w:eastAsia="黑体" w:cs="黑体"/>
          <w:sz w:val="21"/>
          <w:szCs w:val="21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21"/>
          <w:szCs w:val="21"/>
          <w:bdr w:val="none" w:color="auto" w:sz="0" w:space="0"/>
        </w:rPr>
        <w:drawing>
          <wp:inline distT="0" distB="0" distL="114300" distR="114300">
            <wp:extent cx="1676400" cy="3324225"/>
            <wp:effectExtent l="0" t="0" r="0" b="9525"/>
            <wp:docPr id="9" name="图片 7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7" descr="1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3324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21"/>
          <w:szCs w:val="21"/>
          <w:bdr w:val="none" w:color="auto" w:sz="0" w:space="0"/>
        </w:rPr>
        <w:drawing>
          <wp:inline distT="0" distB="0" distL="114300" distR="114300">
            <wp:extent cx="1685925" cy="3362325"/>
            <wp:effectExtent l="0" t="0" r="9525" b="9525"/>
            <wp:docPr id="6" name="图片 8" descr="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8" descr="1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3362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21"/>
          <w:szCs w:val="21"/>
          <w:bdr w:val="none" w:color="auto" w:sz="0" w:space="0"/>
        </w:rPr>
        <w:drawing>
          <wp:inline distT="0" distB="0" distL="114300" distR="114300">
            <wp:extent cx="1885950" cy="3381375"/>
            <wp:effectExtent l="0" t="0" r="0" b="9525"/>
            <wp:docPr id="10" name="图片 9" descr="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 descr="1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3381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 w:line="480" w:lineRule="atLeast"/>
        <w:ind w:left="0" w:right="0"/>
        <w:jc w:val="left"/>
        <w:rPr>
          <w:rFonts w:hint="eastAsia" w:ascii="黑体" w:hAnsi="黑体" w:eastAsia="黑体" w:cs="黑体"/>
          <w:sz w:val="21"/>
          <w:szCs w:val="21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第四步：同步学习记录</w:t>
      </w: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21"/>
          <w:szCs w:val="21"/>
          <w:bdr w:val="none" w:color="auto" w:sz="0" w:space="0"/>
        </w:rPr>
        <w:t>　　学习完毕后，点击右上角同步，将学习时间同步到互联网（需联网）来实现累计学习时间。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 w:line="480" w:lineRule="atLeast"/>
        <w:ind w:left="0" w:right="0"/>
        <w:jc w:val="center"/>
        <w:rPr>
          <w:rFonts w:hint="eastAsia" w:ascii="黑体" w:hAnsi="黑体" w:eastAsia="黑体" w:cs="黑体"/>
          <w:sz w:val="21"/>
          <w:szCs w:val="21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21"/>
          <w:szCs w:val="21"/>
          <w:bdr w:val="none" w:color="auto" w:sz="0" w:space="0"/>
        </w:rPr>
        <w:drawing>
          <wp:inline distT="0" distB="0" distL="114300" distR="114300">
            <wp:extent cx="1771650" cy="3486150"/>
            <wp:effectExtent l="0" t="0" r="0" b="0"/>
            <wp:docPr id="7" name="图片 10" descr="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0" descr="1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3486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黑体" w:hAnsi="黑体" w:eastAsia="黑体" w:cs="黑体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D713F8"/>
    <w:rsid w:val="53D71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://www.chinaacc.com/phoneshop/jxjj/#apple" TargetMode="Externa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2021-09-24T05:49:00Z</dcterms:created>
  <dc:creator>蚊子</dc:creator>
  <cp:lastModifiedBy>蚊子</cp:lastModifiedBy>
  <dcterms:modified xsi:type="dcterms:W3CDTF">2021-09-24T05:56:15Z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