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</w:t>
      </w:r>
      <w:r>
        <w:rPr>
          <w:rFonts w:hint="eastAsia" w:ascii="仿宋" w:hAnsi="仿宋" w:eastAsia="仿宋" w:cs="Calibri"/>
          <w:color w:val="333333"/>
          <w:kern w:val="0"/>
          <w:sz w:val="32"/>
          <w:szCs w:val="32"/>
          <w:shd w:val="clear" w:color="auto" w:fill="FFFFFF"/>
        </w:rPr>
        <w:t>开启审计之门系列</w:t>
      </w:r>
      <w:bookmarkStart w:id="0" w:name="_GoBack"/>
      <w:bookmarkEnd w:id="0"/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第一讲  怎样理解财务报表审计工作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第二讲  财务报表审计由哪些构成  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第三讲  审计程序类型有哪些      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第四讲  如何执行函证                  王  颖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第五讲  如何执行分析程序        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第六讲  如何执行存货监盘  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第七讲  如何编制审计工作底稿    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第八讲  企业项目背景介绍              王  颖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第九讲  货币资金如何进行审计          王  颖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第十讲  交易性金融资产如何进行审计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第十一讲  应收票据如何进行审计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第十二讲  应收账款如何进行审计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第十三讲  存货如何进行审计    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第十四讲  固定资产如何进行审计        范秀华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第十五讲  递延所得税资产/</w:t>
      </w:r>
    </w:p>
    <w:p>
      <w:pPr>
        <w:ind w:firstLine="2704" w:firstLineChars="8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负债如何进行审计            范秀华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第十六讲  短期借款如何进行审计  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第十七讲  应付职工薪酬如何进行审计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第十八讲  应交税费如何进行审计        范秀华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第十九讲  实收资本（股本）如何进行审计范秀华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第二十讲  资本公积如何进行审计        范秀华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第二十一讲  营业收入如何进行审计      王  颖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第二十二讲  营业成本如何进行审计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第二十三讲  管理费用如何进行审计      韩志娟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第二十四讲  财务费用如何进行审计      王远伟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第二十五讲  所得税费用如何进行审计    范秀华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75C1"/>
    <w:rsid w:val="6D6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2021-06-25T07:30:00Z</dcterms:created>
  <dc:creator>WPS_1562114750</dc:creator>
  <cp:lastModifiedBy>WPS_1562114750</cp:lastModifiedBy>
  <dcterms:modified xsi:type="dcterms:W3CDTF">2021-06-25T07:33:40Z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76772536A1CF4BD2A158C6ACE8B1772F</vt:lpwstr>
  </property>
</Properties>
</file>